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6D6" w:rsidRPr="000D06D6" w:rsidRDefault="000D06D6" w:rsidP="000D06D6">
      <w:pPr>
        <w:spacing w:after="240"/>
        <w:rPr>
          <w:rFonts w:ascii="Times" w:eastAsia="Times New Roman" w:hAnsi="Times" w:cs="Times New Roman"/>
          <w:sz w:val="20"/>
          <w:szCs w:val="20"/>
          <w:lang w:val="en-US"/>
        </w:rPr>
      </w:pP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24 April 2015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Dear Sir Mark Pepys and signatories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I am aware that Professor Graham Watt and colleagues have already sent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you a response to your attack on The Lancet editor Dr Richard Horton and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the signatories to the Manduca et al letter published in The Lancet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during Operation Protective Edge in Gaza last summer. As one of the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signatories of that letter I wish to reply on my own account.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An early indication that yours is simply an indiscriminate smear letter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is the inclusion of entirely irrelevant material- the Lancet publication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of the Wakefield MMR paper 17 years ago, your highlighting of what one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signatory might have said in a talk somewhere, what Internet material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another signatory might have looked at etc.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Our case rests on the substantive evidence base from a range of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international and regional human rights and documentation centres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generated by Operation Protective Edge and precedent events like the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long-running seige of Gaza. The indiscriminate bombardment and mass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killing of a helpless, trapped civilian population (including the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killing of hospital patients in their beds, and of health professionals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on duty) is at the centre of all these accounts. Look at the photo I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attach. You cannot be unaware of this evidence base but your letter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ignores it entirely. I attach just one example, an independent medical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fact-finding report organised by Physicians for Human Rights-Israel and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other reputable documentation centres. (1)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Your detachment from the human costs of Operation Protective Edge, and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the medical ethical issues thrown up, was there from the start. I note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that you, Sir Mark, were quoted in the Telegraph of 22 September 2014 as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saying on 29 August, at the height of the bombardment, that the Manduca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et al authors were displaying "most serious, unprofessional and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unethical errors". Not a word about events on the ground in Gaza, yet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these were the events which even then the UN, Amnesty International and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Human Rights Watch were all recording as prima facie evidence of war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crimes!  Since then The International Criminal Court has opened a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preliminary examination of war crimes violations during Operation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Protective Edge.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I would suggest that if a letter of protest with exactly the same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contents had appeared in The Lancet, but where the State concerned was,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say, Sudan or Syria, you would have no reason to see as it as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objectionable or as inappropriate material for a medical journal, and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might well have applauded such coverage- after all, the medical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profession has a duty to individual patients, but also a generally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recognised wider ethical duty to address the social origins of distress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and disease. So how are we to understand the apparent exceptionalism you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display? In his classic work "Phenomenology of Sociopolitical Actions: A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Methodological Approach to Conflict", the sociologist Max Weber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distinguished between an "ethic of responsibility" and an "ethic of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conviction". By "ethic of responsibility", Weber meant conformity to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professional standards and accountability. In our profession this means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the ethical standards by which doctors should practice, including a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commitment to factual evidence- standards determined by their peers,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employers, the General Medical Council and, on the international scene,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by the World Medical Association. By "ethic of conviction", Weber was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identifying actions that were inspired by personally valued ideals,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political or other philosophies, or identities. In my 29 years of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lastRenderedPageBreak/>
        <w:t>conflict-related human rights work (23 on Israel-Palestine), I have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witnessed how regularly an ethic of conviction trumps an ethic of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responsibility, not least amongst doctors, and this is sadly true of you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too. The signatories of your letter seem united around a felt connection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with Israel and a wish to defend it, and this is what counts. In the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service of this you can dismiss war crimes, seek to bludgeon a medical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journal into silence, and demand that a letter grounded on so multiply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documented an evidence base be retracted. This is a flagrant abuse of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medical ethics. You write as if you had the ethical clarity that would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attach, say, to your discovery of research fraud in a published paper,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and your further discovery that the editor of the journal concerned had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been in knowing collusion with this fraud!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Those signatories who are Israeli are in support of the state of which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they are citizens; the majority of signatories who reside elsewhere are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serving the propaganda interests of a foreign power.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Your allegations are defamatory and libellous: that we published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"deliberately inflammatory falsehoods</w:t>
      </w:r>
      <w:proofErr w:type="gramStart"/>
      <w:r w:rsidRPr="000D06D6">
        <w:rPr>
          <w:rFonts w:ascii="Times" w:eastAsia="Times New Roman" w:hAnsi="Times" w:cs="Times New Roman"/>
          <w:sz w:val="20"/>
          <w:szCs w:val="20"/>
          <w:lang w:val="en-US"/>
        </w:rPr>
        <w:t>....abusive</w:t>
      </w:r>
      <w:proofErr w:type="gramEnd"/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dishonesty.....unverifiable dishonest 'facts'.....malignant wilful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disregard of honest and ethical medical authorship and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editorship.....under the direction of Horton, The Lancet has become a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vehicle for publication of deliberately false material..." So we - both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authors and editor- are publishing lies which we know to be lies in a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famous international medical journal? Few allegations made against a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doctor could be much graver than this.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I quote from the GMC publication Good Medical Practice (2006).  In the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section on Working with colleagues, doctors must "respect the skills and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contributions of your colleagues" (para 41); "you must treat your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colleagues fairly and with respect.  You must not bully or harass them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or unfairly discriminate against them by allowing your personal views to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affect adversely your professional relationship with them.  You should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challenge colleagues if their behaviour does not comply with this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guidance" (para 46); "you must not make malicious and unfounded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criticisms of colleagues that may undermine patients' trust in the care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or treatment they receive, or in the judgement of those treating them"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(para 47).  In the section on Probity, the GMC says that "probity means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being honest and trustworthy, and acting with integrity: this is at the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heart of medical professionalism" (para 56); "you must make sure that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your conduct at all times justifies your patients' trust in you and the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public's trust in the profession" (para 57).  In the section on Writing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reports, giving evidence etc, the GMC </w:t>
      </w:r>
      <w:proofErr w:type="gramStart"/>
      <w:r w:rsidRPr="000D06D6">
        <w:rPr>
          <w:rFonts w:ascii="Times" w:eastAsia="Times New Roman" w:hAnsi="Times" w:cs="Times New Roman"/>
          <w:sz w:val="20"/>
          <w:szCs w:val="20"/>
          <w:lang w:val="en-US"/>
        </w:rPr>
        <w:t>says that</w:t>
      </w:r>
      <w:proofErr w:type="gramEnd"/>
      <w:r w:rsidRPr="000D06D6">
        <w:rPr>
          <w:rFonts w:ascii="Times" w:eastAsia="Times New Roman" w:hAnsi="Times" w:cs="Times New Roman"/>
          <w:sz w:val="20"/>
          <w:szCs w:val="20"/>
          <w:lang w:val="en-US"/>
        </w:rPr>
        <w:t xml:space="preserve"> "you must do your best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to make sure that any documents you write or sign are not false or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misleading. This means that you must take reasonable steps to verify the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information in the documents, and that you must not deliberately leave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out relevant information" (para 65); ...you must be honest in all your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spoken and written statements. You must make clear the limits of your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knowledge or competence" (para 67).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As one of the signatories whose academic reputation your letter seeks to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blacken, I am an involved party and I challenge you retract your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allegations promptly or justify them evidentially. If you fail to do so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I will look to appropriate action, starting with a formal complaint to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the General Medical Council naming yourself as lead signatory for a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start.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Yours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Derek Summerfield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Honorary Senior Lecturer, Institute of Psychiatry, King's College,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London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Consultant Psychiatrist, South London &amp; Maudsley NHS Trust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Formerly Research Associate, Refugee Studies Centre, University of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Oxford; Consultant to Oxfam and other humanitarian organisations;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Principal Psychiatrist, Medical Foundation for Care of Victims of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Torture.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 xml:space="preserve">1.  Gaza 2014. </w:t>
      </w:r>
      <w:proofErr w:type="gramStart"/>
      <w:r w:rsidRPr="000D06D6">
        <w:rPr>
          <w:rFonts w:ascii="Times" w:eastAsia="Times New Roman" w:hAnsi="Times" w:cs="Times New Roman"/>
          <w:sz w:val="20"/>
          <w:szCs w:val="20"/>
          <w:lang w:val="en-US"/>
        </w:rPr>
        <w:t>Findings of an independent medical fact-finding mission.</w:t>
      </w:r>
      <w:proofErr w:type="gramEnd"/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Physicians for Human Rights-Israel, Al Mezan Center for Human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Rights-Gaza, Gaza Community Mental Health Programme</w:t>
      </w:r>
      <w:proofErr w:type="gramStart"/>
      <w:r w:rsidRPr="000D06D6">
        <w:rPr>
          <w:rFonts w:ascii="Times" w:eastAsia="Times New Roman" w:hAnsi="Times" w:cs="Times New Roman"/>
          <w:sz w:val="20"/>
          <w:szCs w:val="20"/>
          <w:lang w:val="en-US"/>
        </w:rPr>
        <w:t>,  Palestinian</w:t>
      </w:r>
      <w:proofErr w:type="gramEnd"/>
      <w:r w:rsidRPr="000D06D6">
        <w:rPr>
          <w:rFonts w:ascii="Times" w:eastAsia="Times New Roman" w:hAnsi="Times" w:cs="Times New Roman"/>
          <w:sz w:val="20"/>
          <w:szCs w:val="20"/>
          <w:lang w:val="en-US"/>
        </w:rPr>
        <w:t xml:space="preserve"> Centre</w:t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  <w:t>for Human Rights-Gaza.</w:t>
      </w:r>
    </w:p>
    <w:p w:rsidR="000D06D6" w:rsidRPr="000D06D6" w:rsidRDefault="000D06D6" w:rsidP="000D06D6">
      <w:pPr>
        <w:rPr>
          <w:rFonts w:ascii="Times" w:eastAsia="Times New Roman" w:hAnsi="Times" w:cs="Times New Roman"/>
          <w:sz w:val="20"/>
          <w:szCs w:val="20"/>
          <w:lang w:val="en-US"/>
        </w:rPr>
      </w:pPr>
    </w:p>
    <w:p w:rsidR="000D06D6" w:rsidRPr="000D06D6" w:rsidRDefault="000D06D6" w:rsidP="000D06D6">
      <w:pPr>
        <w:rPr>
          <w:rFonts w:ascii="Times" w:eastAsia="Times New Roman" w:hAnsi="Times" w:cs="Times New Roman"/>
          <w:sz w:val="20"/>
          <w:szCs w:val="20"/>
          <w:lang w:val="en-US"/>
        </w:rPr>
      </w:pP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/>
      </w:r>
      <w:r w:rsidRPr="000D06D6">
        <w:rPr>
          <w:rFonts w:ascii="Times" w:eastAsia="Times New Roman" w:hAnsi="Times" w:cs="Times New Roman"/>
          <w:sz w:val="20"/>
          <w:szCs w:val="20"/>
          <w:lang w:val="en-US"/>
        </w:rPr>
        <w:br w:type="textWrapping" w:clear="all"/>
      </w:r>
      <w:bookmarkStart w:id="0" w:name="_GoBack"/>
      <w:bookmarkEnd w:id="0"/>
    </w:p>
    <w:p w:rsidR="004806D7" w:rsidRDefault="004806D7"/>
    <w:sectPr w:rsidR="004806D7" w:rsidSect="003F534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6D6"/>
    <w:rsid w:val="000D06D6"/>
    <w:rsid w:val="003F5346"/>
    <w:rsid w:val="0048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DD8E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06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D06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3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0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78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7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1122</Words>
  <Characters>6399</Characters>
  <Application>Microsoft Macintosh Word</Application>
  <DocSecurity>0</DocSecurity>
  <Lines>53</Lines>
  <Paragraphs>15</Paragraphs>
  <ScaleCrop>false</ScaleCrop>
  <Company/>
  <LinksUpToDate>false</LinksUpToDate>
  <CharactersWithSpaces>7506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M</dc:creator>
  <cp:keywords/>
  <dc:description/>
  <cp:lastModifiedBy>P M</cp:lastModifiedBy>
  <cp:revision>1</cp:revision>
  <dcterms:created xsi:type="dcterms:W3CDTF">2015-04-29T08:42:00Z</dcterms:created>
  <dcterms:modified xsi:type="dcterms:W3CDTF">2015-04-29T08:43:00Z</dcterms:modified>
</cp:coreProperties>
</file>